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49632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6149632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2"/>
        <w:pBdr/>
        <w:spacing w:line="278" w:lineRule="auto"/>
        <w:ind w:right="2851" w:firstLine="1645" w:left="2603"/>
        <w:rPr/>
      </w:pPr>
      <w:r>
        <w:t xml:space="preserve">ANEXO ll DECLARAÇÃO</w:t>
      </w:r>
      <w:r>
        <w:rPr>
          <w:spacing w:val="-17"/>
        </w:rPr>
        <w:t xml:space="preserve"> </w:t>
      </w:r>
      <w:r>
        <w:t xml:space="preserve">DE</w:t>
      </w:r>
      <w:r>
        <w:rPr>
          <w:spacing w:val="-17"/>
        </w:rPr>
        <w:t xml:space="preserve"> </w:t>
      </w:r>
      <w:r>
        <w:t xml:space="preserve">REPRESENTAÇÃO</w:t>
      </w:r>
      <w:r/>
    </w:p>
    <w:p>
      <w:pPr>
        <w:pStyle w:val="649"/>
        <w:pBdr/>
        <w:spacing w:before="48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 w:line="278" w:lineRule="auto"/>
        <w:ind w:right="2079" w:firstLine="0" w:left="17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01/2024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 Seleção dos Melhores Projetos das Demais Áreas Lei Paulo Gustavo (LC 195/2022)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49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Destinado às apresentações em dupla ou grupo, este documento declara o representante da dupla ou do coletivo.</w:t>
      </w:r>
      <w:r/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22"/>
        <w:gridCol w:w="2487"/>
        <w:gridCol w:w="1679"/>
        <w:gridCol w:w="3051"/>
      </w:tblGrid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Nome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Grupo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ou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Nome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 xml:space="preserve">Fantasia:</w:t>
            </w:r>
            <w:r>
              <w:rPr>
                <w:rFonts w:asci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IDENTIFICAÇÃO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REPRESENTANTE</w:t>
            </w:r>
            <w:r>
              <w:rPr>
                <w:rFonts w:ascii="Arial" w:hAns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Completo: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2"/>
            <w:tcBorders/>
            <w:tcW w:w="460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Telefone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fixo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houver: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4730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Celular: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E-mail: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Endereço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residencial: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Bairro:</w:t>
            </w:r>
            <w:r>
              <w:rPr>
                <w:sz w:val="24"/>
              </w:rPr>
            </w:r>
          </w:p>
        </w:tc>
        <w:tc>
          <w:tcPr>
            <w:tcBorders/>
            <w:tcW w:w="2487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Cidade:</w:t>
            </w:r>
            <w:r>
              <w:rPr>
                <w:sz w:val="24"/>
              </w:rPr>
            </w:r>
          </w:p>
        </w:tc>
        <w:tc>
          <w:tcPr>
            <w:tcBorders/>
            <w:tcW w:w="1679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UF:</w:t>
            </w:r>
            <w:r>
              <w:rPr>
                <w:sz w:val="24"/>
              </w:rPr>
            </w:r>
          </w:p>
        </w:tc>
        <w:tc>
          <w:tcPr>
            <w:tcBorders/>
            <w:tcW w:w="3051" w:type="dxa"/>
            <w:textDirection w:val="lrTb"/>
            <w:noWrap w:val="false"/>
          </w:tcPr>
          <w:p>
            <w:pPr>
              <w:pStyle w:val="654"/>
              <w:pBdr/>
              <w:spacing w:before="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CEP:</w:t>
            </w:r>
            <w:r>
              <w:rPr>
                <w:sz w:val="24"/>
              </w:rPr>
            </w:r>
          </w:p>
        </w:tc>
      </w:tr>
    </w:tbl>
    <w:p>
      <w:pPr>
        <w:pStyle w:val="649"/>
        <w:pBdr/>
        <w:spacing w:before="50"/>
        <w:ind/>
        <w:rPr/>
      </w:pPr>
      <w:r/>
      <w:r/>
    </w:p>
    <w:p>
      <w:pPr>
        <w:pStyle w:val="649"/>
        <w:pBdr/>
        <w:spacing w:before="1" w:line="278" w:lineRule="auto"/>
        <w:ind w:right="388" w:left="100"/>
        <w:jc w:val="both"/>
        <w:rPr/>
      </w:pPr>
      <w:r>
        <w:t xml:space="preserve">Os declarantes abaixo assinados, integrantes da referida dupla ou grupo artístico, elegem</w:t>
      </w:r>
      <w:r>
        <w:rPr>
          <w:spacing w:val="-3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membro</w:t>
      </w:r>
      <w:r>
        <w:rPr>
          <w:spacing w:val="-2"/>
        </w:rPr>
        <w:t xml:space="preserve"> </w:t>
      </w:r>
      <w:r>
        <w:t xml:space="preserve">descrito</w:t>
      </w:r>
      <w:r>
        <w:rPr>
          <w:spacing w:val="-3"/>
        </w:rPr>
        <w:t xml:space="preserve"> </w:t>
      </w:r>
      <w:r>
        <w:t xml:space="preserve">acima,</w:t>
      </w:r>
      <w:r>
        <w:rPr>
          <w:spacing w:val="-2"/>
        </w:rPr>
        <w:t xml:space="preserve"> </w:t>
      </w:r>
      <w:r>
        <w:t xml:space="preserve">como</w:t>
      </w:r>
      <w:r>
        <w:rPr>
          <w:spacing w:val="-2"/>
        </w:rPr>
        <w:t xml:space="preserve"> </w:t>
      </w:r>
      <w:r>
        <w:t xml:space="preserve">único</w:t>
      </w:r>
      <w:r>
        <w:rPr>
          <w:spacing w:val="-2"/>
        </w:rPr>
        <w:t xml:space="preserve"> </w:t>
      </w:r>
      <w:r>
        <w:t xml:space="preserve">representante</w:t>
      </w:r>
      <w:r>
        <w:rPr>
          <w:spacing w:val="-3"/>
        </w:rPr>
        <w:t xml:space="preserve"> </w:t>
      </w:r>
      <w:r>
        <w:t xml:space="preserve">legal</w:t>
      </w:r>
      <w:r>
        <w:rPr>
          <w:spacing w:val="-3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t xml:space="preserve">presente</w:t>
      </w:r>
      <w:r>
        <w:rPr>
          <w:spacing w:val="-3"/>
        </w:rPr>
        <w:t xml:space="preserve"> </w:t>
      </w:r>
      <w:r>
        <w:t xml:space="preserve">edital</w:t>
      </w:r>
      <w:r>
        <w:rPr>
          <w:spacing w:val="-3"/>
        </w:rPr>
        <w:t xml:space="preserve"> </w:t>
      </w:r>
      <w:r>
        <w:t xml:space="preserve">de incentivo à</w:t>
      </w:r>
      <w:r>
        <w:rPr>
          <w:spacing w:val="-4"/>
        </w:rPr>
        <w:t xml:space="preserve"> </w:t>
      </w:r>
      <w:r>
        <w:t xml:space="preserve">cultura, outorgando-lhe poderes para fazer cumprir todos os procedimentos exigidos nas</w:t>
      </w:r>
      <w:r>
        <w:rPr>
          <w:spacing w:val="-3"/>
        </w:rPr>
        <w:t xml:space="preserve"> </w:t>
      </w:r>
      <w:r>
        <w:t xml:space="preserve">diferentes etapas do edital, inclusive assinatura dos contratos com a Secretaria de Cultura</w:t>
      </w:r>
      <w:r>
        <w:rPr>
          <w:spacing w:val="-3"/>
        </w:rPr>
        <w:t xml:space="preserve"> </w:t>
      </w:r>
      <w:r>
        <w:t xml:space="preserve">do Município de Teresópolis, troca de comunicações, podendo assumir compromissos,</w:t>
      </w:r>
      <w:r>
        <w:rPr>
          <w:spacing w:val="-3"/>
        </w:rPr>
        <w:t xml:space="preserve"> </w:t>
      </w:r>
      <w:r>
        <w:t xml:space="preserve">obrigações, transigir, receber pagamento e dar quitação, renunciar direitos e qualquer outro ato relacionado ao referido certame.</w:t>
      </w:r>
      <w:r/>
    </w:p>
    <w:p>
      <w:pPr>
        <w:pStyle w:val="649"/>
        <w:pBdr/>
        <w:spacing w:before="9" w:line="278" w:lineRule="auto"/>
        <w:ind w:right="389" w:left="100"/>
        <w:jc w:val="both"/>
        <w:rPr/>
      </w:pPr>
      <w:r>
        <w:t xml:space="preserve">Os declarantes informam que não incorrem em quaisquer das vedações do item de participação previstas no Edital.</w:t>
      </w:r>
      <w:r/>
    </w:p>
    <w:p>
      <w:pPr>
        <w:pStyle w:val="649"/>
        <w:pBdr/>
        <w:spacing w:before="2" w:line="278" w:lineRule="auto"/>
        <w:ind w:right="388" w:left="100"/>
        <w:jc w:val="both"/>
        <w:rPr/>
      </w:pPr>
      <w:r>
        <w:t xml:space="preserve">Os declarantes deverão observar, caso se aplique, o disposto no artigo 17 da Lei Complementar nº 195/2022, abaixo transcrito, para o correto preenchimento do quadro a seguir:</w:t>
      </w:r>
      <w:r/>
    </w:p>
    <w:p>
      <w:pPr>
        <w:pBdr/>
        <w:spacing w:before="4" w:line="278" w:lineRule="auto"/>
        <w:ind w:right="388" w:firstLine="0" w:left="10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Art. 17. Na implementação das ações previstas nesta Lei Complementar, os Estados, o Distrito Federal e os Municípios deverão assegurar mecanismos </w:t>
      </w:r>
      <w:r>
        <w:rPr>
          <w:rFonts w:ascii="Arial" w:hAnsi="Arial"/>
          <w:i/>
          <w:sz w:val="24"/>
        </w:rPr>
        <w:t xml:space="preserve">de estímulo à participação e ao protagonismo de mulheres, de negros, de indígenas, de povos tradicionais, inclusive de terreiro e quilombolas, de populações nômades, de pessoas do segmento LGBTQIA+, de pessoas com deficiência e de outras minorias, por meio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 cotas, critérios dife</w:t>
      </w:r>
      <w:r>
        <w:rPr>
          <w:rFonts w:ascii="Arial" w:hAnsi="Arial"/>
          <w:i/>
          <w:sz w:val="24"/>
        </w:rPr>
        <w:t xml:space="preserve">renciados de pontuação, editais específicos ou qualquer outro meio de ação afirmativa que garanta a participação e o protagonismo desses grupos, observadas a realidade local, a organização social do grupo, quando aplicável, e a legislação relativa ao tema.</w:t>
      </w:r>
      <w:r>
        <w:rPr>
          <w:rFonts w:ascii="Arial" w:hAnsi="Arial"/>
          <w:i/>
          <w:sz w:val="24"/>
        </w:rPr>
      </w:r>
    </w:p>
    <w:p>
      <w:pPr>
        <w:pStyle w:val="649"/>
        <w:pBdr/>
        <w:spacing w:before="119"/>
        <w:ind/>
        <w:rPr>
          <w:rFonts w:ascii="Arial"/>
          <w:i/>
          <w:sz w:val="18"/>
        </w:rPr>
      </w:pPr>
      <w:r>
        <w:rPr>
          <w:rFonts w:ascii="Arial"/>
          <w:i/>
          <w:sz w:val="18"/>
        </w:rPr>
      </w:r>
      <w:r>
        <w:rPr>
          <w:rFonts w:ascii="Arial"/>
          <w:i/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23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065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48615065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before="13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/>
        <w:ind w:left="100"/>
        <w:rPr/>
      </w:pPr>
      <w:r>
        <w:t xml:space="preserve">Favor</w:t>
      </w:r>
      <w:r>
        <w:rPr>
          <w:spacing w:val="-1"/>
        </w:rPr>
        <w:t xml:space="preserve"> </w:t>
      </w:r>
      <w:r>
        <w:t xml:space="preserve">imprimir</w:t>
      </w:r>
      <w:r>
        <w:rPr>
          <w:spacing w:val="-1"/>
        </w:rPr>
        <w:t xml:space="preserve"> </w:t>
      </w:r>
      <w:r>
        <w:t xml:space="preserve">quantas</w:t>
      </w:r>
      <w:r>
        <w:rPr>
          <w:spacing w:val="-1"/>
        </w:rPr>
        <w:t xml:space="preserve"> </w:t>
      </w:r>
      <w:r>
        <w:t xml:space="preserve">vias</w:t>
      </w:r>
      <w:r>
        <w:rPr>
          <w:spacing w:val="-1"/>
        </w:rPr>
        <w:t xml:space="preserve"> </w:t>
      </w:r>
      <w:r>
        <w:t xml:space="preserve">forem</w:t>
      </w:r>
      <w:r>
        <w:rPr>
          <w:spacing w:val="-1"/>
        </w:rPr>
        <w:t xml:space="preserve"> </w:t>
      </w:r>
      <w:r>
        <w:rPr>
          <w:spacing w:val="-2"/>
        </w:rPr>
        <w:t xml:space="preserve">necessárias.</w:t>
      </w:r>
      <w:r/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32"/>
        <w:gridCol w:w="1906"/>
        <w:gridCol w:w="2282"/>
        <w:gridCol w:w="1918"/>
      </w:tblGrid>
      <w:tr>
        <w:trPr>
          <w:trHeight w:val="642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 w:before="179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Nome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 w:before="179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 xml:space="preserve">CPF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 w:before="19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Ações</w:t>
            </w: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654"/>
              <w:pBdr/>
              <w:spacing w:before="4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Afirmativas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 w:before="179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Assinatura</w:t>
            </w:r>
            <w:r>
              <w:rPr>
                <w:rFonts w:asci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49"/>
        <w:pBdr/>
        <w:spacing w:before="75"/>
        <w:ind/>
        <w:rPr/>
      </w:pPr>
      <w:r/>
      <w:r/>
    </w:p>
    <w:p>
      <w:pPr>
        <w:pStyle w:val="649"/>
        <w:pBdr/>
        <w:tabs>
          <w:tab w:val="left" w:leader="none" w:pos="1826"/>
          <w:tab w:val="left" w:leader="none" w:pos="4361"/>
        </w:tabs>
        <w:spacing/>
        <w:ind w:right="290"/>
        <w:jc w:val="center"/>
        <w:rPr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 w:before="10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640" behindDoc="1" locked="0" layoutInCell="1" allowOverlap="1">
                <wp:simplePos x="0" y="0"/>
                <wp:positionH relativeFrom="page">
                  <wp:posOffset>1845182</wp:posOffset>
                </wp:positionH>
                <wp:positionV relativeFrom="paragraph">
                  <wp:posOffset>167833</wp:posOffset>
                </wp:positionV>
                <wp:extent cx="4406265" cy="1270"/>
                <wp:effectExtent l="0" t="0" r="0" b="0"/>
                <wp:wrapTopAndBottom/>
                <wp:docPr id="3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0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265" h="0" fill="norm" stroke="1" extrusionOk="0">
                              <a:moveTo>
                                <a:pt x="0" y="0"/>
                              </a:moveTo>
                              <a:lnTo>
                                <a:pt x="44061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600640;o:allowoverlap:true;o:allowincell:true;mso-position-horizontal-relative:page;margin-left:145.29pt;mso-position-horizontal:absolute;mso-position-vertical-relative:text;margin-top:13.22pt;mso-position-vertical:absolute;width:346.95pt;height:0.10pt;mso-wrap-distance-left:0.00pt;mso-wrap-distance-top:0.00pt;mso-wrap-distance-right:0.00pt;mso-wrap-distance-bottom:0.00pt;visibility:visible;" path="m0,0l99998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48"/>
        <w:ind w:right="287"/>
        <w:jc w:val="center"/>
        <w:rPr/>
      </w:pPr>
      <w:r>
        <w:rPr>
          <w:spacing w:val="-2"/>
        </w:rPr>
        <w:t xml:space="preserve">(Assinatura)</w:t>
      </w:r>
      <w:r/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 w:before="68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41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9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3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274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3927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629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475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47" w:left="2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18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6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6" w:left="8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6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6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6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6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6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6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100"/>
        <w:jc w:val="left"/>
      </w:pPr>
      <w:rPr>
        <w:rFonts w:hint="default"/>
        <w:lang w:val="pt-PT" w:eastAsia="en-US" w:bidi="ar-SA"/>
      </w:rPr>
      <w:start w:val="11"/>
      <w:suff w:val="tab"/>
    </w:lvl>
    <w:lvl w:ilvl="1">
      <w:isLgl w:val="false"/>
      <w:lvlJc w:val="left"/>
      <w:lvlText w:val="%1.%2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600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00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00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00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467" w:left="1134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11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62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29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929" w:left="445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929" w:left="535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929" w:left="625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929" w:left="714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929" w:left="8045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33" w:left="19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33" w:left="432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3" w:left="511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3" w:left="5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3" w:left="668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3" w:left="747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3" w:left="8264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7" w:left="454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7" w:left="5428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7" w:left="63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7" w:left="7193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7" w:left="8075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-"/>
      <w:numFmt w:val="upperRoman"/>
      <w:pPr>
        <w:pBdr/>
        <w:spacing/>
        <w:ind w:hanging="307" w:left="4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0"/>
      <w:suff w:val="tab"/>
    </w:lvl>
    <w:lvl w:ilvl="1">
      <w:isLgl w:val="false"/>
      <w:lvlJc w:val="left"/>
      <w:lvlText w:val="%2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00" w:left="1267"/>
        <w:jc w:val="left"/>
      </w:pPr>
      <w:rPr>
        <w:rFonts w:hint="default"/>
        <w:spacing w:val="-1"/>
        <w:lang w:val="pt-PT" w:eastAsia="en-US" w:bidi="ar-SA"/>
      </w:rPr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hanging="600" w:left="26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26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266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45"/>
    <w:link w:val="6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8"/>
    <w:next w:val="6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5"/>
    <w:link w:val="42"/>
    <w:uiPriority w:val="99"/>
    <w:pPr>
      <w:pBdr/>
      <w:spacing/>
      <w:ind/>
    </w:pPr>
  </w:style>
  <w:style w:type="paragraph" w:styleId="44">
    <w:name w:val="Footer"/>
    <w:basedOn w:val="6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5"/>
    <w:link w:val="44"/>
    <w:uiPriority w:val="99"/>
    <w:pPr>
      <w:pBdr/>
      <w:spacing/>
      <w:ind/>
    </w:pPr>
  </w:style>
  <w:style w:type="paragraph" w:styleId="46">
    <w:name w:val="Caption"/>
    <w:basedOn w:val="648"/>
    <w:next w:val="6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8"/>
    <w:next w:val="6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8"/>
    <w:next w:val="6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8"/>
    <w:next w:val="6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8"/>
    <w:next w:val="6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8"/>
    <w:next w:val="6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8"/>
    <w:next w:val="6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8"/>
    <w:next w:val="6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8"/>
    <w:next w:val="6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character" w:styleId="645" w:default="1">
    <w:name w:val="Default Paragraph Font"/>
    <w:uiPriority w:val="1"/>
    <w:semiHidden/>
    <w:unhideWhenUsed/>
    <w:pPr>
      <w:pBdr/>
      <w:spacing/>
      <w:ind/>
    </w:pPr>
  </w:style>
  <w:style w:type="table" w:styleId="646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7" w:default="1">
    <w:name w:val="No List"/>
    <w:uiPriority w:val="99"/>
    <w:semiHidden/>
    <w:unhideWhenUsed/>
    <w:pPr>
      <w:pBdr/>
      <w:spacing/>
      <w:ind/>
    </w:pPr>
  </w:style>
  <w:style w:type="paragraph" w:styleId="648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49">
    <w:name w:val="Body Text"/>
    <w:basedOn w:val="648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0">
    <w:name w:val="Heading 1"/>
    <w:basedOn w:val="648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1">
    <w:name w:val="Heading 2"/>
    <w:basedOn w:val="648"/>
    <w:uiPriority w:val="1"/>
    <w:qFormat/>
    <w:pPr>
      <w:pBdr/>
      <w:spacing/>
      <w:ind w:hanging="264" w:left="364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2">
    <w:name w:val="Heading 3"/>
    <w:basedOn w:val="648"/>
    <w:uiPriority w:val="1"/>
    <w:qFormat/>
    <w:pPr>
      <w:pBdr/>
      <w:spacing/>
      <w:ind w:left="220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3">
    <w:name w:val="List Paragraph"/>
    <w:basedOn w:val="648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4">
    <w:name w:val="Table Paragraph"/>
    <w:basedOn w:val="648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Relationship Id="rId12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2024-05-24T13:01:10Z</dcterms:created>
  <dcterms:modified xsi:type="dcterms:W3CDTF">2024-05-24T13:11:22Z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iText® 7.1.9 ©2000-2019 iText Group NV (AGPL-version)</vt:lpwstr>
  </property>
</Properties>
</file>